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C0" w:rsidRPr="00CD3B6B" w:rsidRDefault="00B661AF" w:rsidP="00CD3B6B">
      <w:pPr>
        <w:spacing w:after="200" w:line="276" w:lineRule="auto"/>
        <w:ind w:right="-85"/>
        <w:jc w:val="both"/>
        <w:rPr>
          <w:rFonts w:ascii="Verdana" w:eastAsia="Calibri" w:hAnsi="Verdana" w:cs="Times New Roman"/>
          <w:b/>
          <w:sz w:val="28"/>
          <w:szCs w:val="28"/>
          <w:lang w:val="de-DE"/>
        </w:rPr>
      </w:pPr>
      <w:r w:rsidRPr="00CD3B6B">
        <w:rPr>
          <w:rFonts w:ascii="Verdana" w:eastAsia="Calibri" w:hAnsi="Verdana" w:cs="Times New Roman"/>
          <w:b/>
          <w:sz w:val="28"/>
          <w:szCs w:val="28"/>
          <w:lang w:val="de-DE"/>
        </w:rPr>
        <w:t xml:space="preserve">5 </w:t>
      </w:r>
      <w:r w:rsidR="00E7374D" w:rsidRPr="00CD3B6B">
        <w:rPr>
          <w:rFonts w:ascii="Verdana" w:eastAsia="Calibri" w:hAnsi="Verdana" w:cs="Times New Roman"/>
          <w:b/>
          <w:sz w:val="28"/>
          <w:szCs w:val="28"/>
          <w:lang w:val="de-DE"/>
        </w:rPr>
        <w:t>Finanz-</w:t>
      </w:r>
      <w:r w:rsidRPr="00CD3B6B">
        <w:rPr>
          <w:rFonts w:ascii="Verdana" w:eastAsia="Calibri" w:hAnsi="Verdana" w:cs="Times New Roman"/>
          <w:b/>
          <w:sz w:val="28"/>
          <w:szCs w:val="28"/>
          <w:lang w:val="de-DE"/>
        </w:rPr>
        <w:t>Tipps zum Weltspartag</w:t>
      </w:r>
    </w:p>
    <w:p w:rsidR="006767C0" w:rsidRPr="00CD3B6B" w:rsidRDefault="006767C0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 w:rsidRPr="00CD3B6B">
        <w:rPr>
          <w:rFonts w:ascii="Verdana" w:eastAsia="Times New Roman" w:hAnsi="Verdana" w:cs="Times New Roman"/>
          <w:kern w:val="3"/>
          <w:lang w:val="de-DE"/>
        </w:rPr>
        <w:t xml:space="preserve">Heidelberg. </w:t>
      </w:r>
      <w:r w:rsidR="00BD5B1D" w:rsidRPr="00CD3B6B">
        <w:rPr>
          <w:rFonts w:ascii="Verdana" w:eastAsia="Times New Roman" w:hAnsi="Verdana" w:cs="Times New Roman"/>
          <w:kern w:val="3"/>
          <w:lang w:val="de-DE"/>
        </w:rPr>
        <w:t xml:space="preserve">Am 28.10.2016 ist der </w:t>
      </w:r>
      <w:r w:rsidR="00B661AF" w:rsidRPr="00CD3B6B">
        <w:rPr>
          <w:rFonts w:ascii="Verdana" w:eastAsia="Times New Roman" w:hAnsi="Verdana" w:cs="Times New Roman"/>
          <w:kern w:val="3"/>
          <w:lang w:val="de-DE"/>
        </w:rPr>
        <w:t xml:space="preserve">jährliche Weltspartag – der </w:t>
      </w:r>
      <w:r w:rsidR="00BD5B1D" w:rsidRPr="00CD3B6B">
        <w:rPr>
          <w:rFonts w:ascii="Verdana" w:eastAsia="Times New Roman" w:hAnsi="Verdana" w:cs="Times New Roman"/>
          <w:kern w:val="3"/>
          <w:lang w:val="de-DE"/>
        </w:rPr>
        <w:t>passende</w:t>
      </w:r>
      <w:r w:rsidR="00B661AF" w:rsidRPr="00CD3B6B">
        <w:rPr>
          <w:rFonts w:ascii="Verdana" w:eastAsia="Times New Roman" w:hAnsi="Verdana" w:cs="Times New Roman"/>
          <w:kern w:val="3"/>
          <w:lang w:val="de-DE"/>
        </w:rPr>
        <w:t xml:space="preserve"> Zeitpunkt, um </w:t>
      </w:r>
      <w:r w:rsidR="00BD5B1D" w:rsidRPr="00CD3B6B">
        <w:rPr>
          <w:rFonts w:ascii="Verdana" w:eastAsia="Times New Roman" w:hAnsi="Verdana" w:cs="Times New Roman"/>
          <w:kern w:val="3"/>
          <w:lang w:val="de-DE"/>
        </w:rPr>
        <w:t>über Geld nachzudenken</w:t>
      </w:r>
      <w:r w:rsidR="00B661AF" w:rsidRPr="00CD3B6B">
        <w:rPr>
          <w:rFonts w:ascii="Verdana" w:eastAsia="Times New Roman" w:hAnsi="Verdana" w:cs="Times New Roman"/>
          <w:kern w:val="3"/>
          <w:lang w:val="de-DE"/>
        </w:rPr>
        <w:t>. Das unabhängige Ver</w:t>
      </w:r>
      <w:r w:rsidR="00CE5CED" w:rsidRPr="00CD3B6B">
        <w:rPr>
          <w:rFonts w:ascii="Verdana" w:eastAsia="Times New Roman" w:hAnsi="Verdana" w:cs="Times New Roman"/>
          <w:kern w:val="3"/>
          <w:lang w:val="de-DE"/>
        </w:rPr>
        <w:t>braucher</w:t>
      </w:r>
      <w:r w:rsidR="00B661AF" w:rsidRPr="00CD3B6B">
        <w:rPr>
          <w:rFonts w:ascii="Verdana" w:eastAsia="Times New Roman" w:hAnsi="Verdana" w:cs="Times New Roman"/>
          <w:kern w:val="3"/>
          <w:lang w:val="de-DE"/>
        </w:rPr>
        <w:t xml:space="preserve">portal Verivox </w:t>
      </w:r>
      <w:r w:rsidR="00FD42F0" w:rsidRPr="00CD3B6B">
        <w:rPr>
          <w:rFonts w:ascii="Verdana" w:eastAsia="Times New Roman" w:hAnsi="Verdana" w:cs="Times New Roman"/>
          <w:kern w:val="3"/>
          <w:lang w:val="de-DE"/>
        </w:rPr>
        <w:t>gibt</w:t>
      </w:r>
      <w:r w:rsidR="00B661AF"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E7374D" w:rsidRPr="00CD3B6B">
        <w:rPr>
          <w:rFonts w:ascii="Verdana" w:eastAsia="Times New Roman" w:hAnsi="Verdana" w:cs="Times New Roman"/>
          <w:kern w:val="3"/>
          <w:lang w:val="de-DE"/>
        </w:rPr>
        <w:t xml:space="preserve">Verbrauchern </w:t>
      </w:r>
      <w:r w:rsidR="0024329B" w:rsidRPr="00CD3B6B">
        <w:rPr>
          <w:rFonts w:ascii="Verdana" w:eastAsia="Times New Roman" w:hAnsi="Verdana" w:cs="Times New Roman"/>
          <w:kern w:val="3"/>
          <w:lang w:val="de-DE"/>
        </w:rPr>
        <w:t>fünf Empfehlungen mit auf den Weg</w:t>
      </w:r>
      <w:r w:rsidR="00E7374D" w:rsidRPr="00CD3B6B">
        <w:rPr>
          <w:rFonts w:ascii="Verdana" w:eastAsia="Times New Roman" w:hAnsi="Verdana" w:cs="Times New Roman"/>
          <w:kern w:val="3"/>
          <w:lang w:val="de-DE"/>
        </w:rPr>
        <w:t xml:space="preserve"> – f</w:t>
      </w:r>
      <w:r w:rsidR="00BD5B1D" w:rsidRPr="00CD3B6B">
        <w:rPr>
          <w:rFonts w:ascii="Verdana" w:eastAsia="Times New Roman" w:hAnsi="Verdana" w:cs="Times New Roman"/>
          <w:kern w:val="3"/>
          <w:lang w:val="de-DE"/>
        </w:rPr>
        <w:t>ür mehr Geld im Portemonnaie.</w:t>
      </w:r>
    </w:p>
    <w:p w:rsidR="006767C0" w:rsidRPr="00CD3B6B" w:rsidRDefault="009636DF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 xml:space="preserve">Kredit zu zweit </w:t>
      </w:r>
      <w:r w:rsidR="00CD3B6B">
        <w:rPr>
          <w:rFonts w:ascii="Verdana" w:eastAsia="Times New Roman" w:hAnsi="Verdana" w:cs="Times New Roman"/>
          <w:b/>
          <w:kern w:val="3"/>
          <w:lang w:val="de-DE"/>
        </w:rPr>
        <w:t>– rund 20 Prozent weniger Zinsen</w:t>
      </w:r>
    </w:p>
    <w:p w:rsidR="006767C0" w:rsidRP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Wer seinen Kredit zu zweit beantragt,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 xml:space="preserve"> steigert die Chancen auf niedrige Zinsen und </w:t>
      </w:r>
      <w:r w:rsidR="0024329B" w:rsidRPr="00CD3B6B">
        <w:rPr>
          <w:rFonts w:ascii="Verdana" w:eastAsia="Times New Roman" w:hAnsi="Verdana" w:cs="Times New Roman"/>
          <w:kern w:val="3"/>
          <w:lang w:val="de-DE"/>
        </w:rPr>
        <w:t>d</w:t>
      </w:r>
      <w:r w:rsidR="001D3D97" w:rsidRPr="00CD3B6B">
        <w:rPr>
          <w:rFonts w:ascii="Verdana" w:eastAsia="Times New Roman" w:hAnsi="Verdana" w:cs="Times New Roman"/>
          <w:kern w:val="3"/>
          <w:lang w:val="de-DE"/>
        </w:rPr>
        <w:t xml:space="preserve">ie </w:t>
      </w:r>
      <w:r w:rsidR="0024329B" w:rsidRPr="00CD3B6B">
        <w:rPr>
          <w:rFonts w:ascii="Verdana" w:eastAsia="Times New Roman" w:hAnsi="Verdana" w:cs="Times New Roman"/>
          <w:kern w:val="3"/>
          <w:lang w:val="de-DE"/>
        </w:rPr>
        <w:t xml:space="preserve">Bank </w:t>
      </w:r>
      <w:r w:rsidR="00E7374D" w:rsidRPr="00CD3B6B">
        <w:rPr>
          <w:rFonts w:ascii="Verdana" w:eastAsia="Times New Roman" w:hAnsi="Verdana" w:cs="Times New Roman"/>
          <w:kern w:val="3"/>
          <w:lang w:val="de-DE"/>
        </w:rPr>
        <w:t xml:space="preserve">bewilligt </w:t>
      </w:r>
      <w:r>
        <w:rPr>
          <w:rFonts w:ascii="Verdana" w:eastAsia="Times New Roman" w:hAnsi="Verdana" w:cs="Times New Roman"/>
          <w:kern w:val="3"/>
          <w:lang w:val="de-DE"/>
        </w:rPr>
        <w:t>das Darlehen</w:t>
      </w:r>
      <w:r w:rsidR="0024329B"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F2676F">
        <w:rPr>
          <w:rFonts w:ascii="Verdana" w:eastAsia="Times New Roman" w:hAnsi="Verdana" w:cs="Times New Roman"/>
          <w:kern w:val="3"/>
          <w:lang w:val="de-DE"/>
        </w:rPr>
        <w:t>leichter</w:t>
      </w:r>
      <w:r w:rsidR="0024329B" w:rsidRPr="00CD3B6B">
        <w:rPr>
          <w:rFonts w:ascii="Verdana" w:eastAsia="Times New Roman" w:hAnsi="Verdana" w:cs="Times New Roman"/>
          <w:kern w:val="3"/>
          <w:lang w:val="de-DE"/>
        </w:rPr>
        <w:t>.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 xml:space="preserve"> Das zeigt eine </w:t>
      </w:r>
      <w:r>
        <w:rPr>
          <w:rFonts w:ascii="Verdana" w:eastAsia="Times New Roman" w:hAnsi="Verdana" w:cs="Times New Roman"/>
          <w:kern w:val="3"/>
          <w:lang w:val="de-DE"/>
        </w:rPr>
        <w:t>Verivox-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>Auswertung</w:t>
      </w:r>
      <w:r w:rsidR="0041460A">
        <w:rPr>
          <w:rFonts w:ascii="Verdana" w:eastAsia="Times New Roman" w:hAnsi="Verdana" w:cs="Times New Roman"/>
          <w:kern w:val="3"/>
          <w:lang w:val="de-DE"/>
        </w:rPr>
        <w:t xml:space="preserve"> von 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>Verträgen, die</w:t>
      </w:r>
      <w:r>
        <w:rPr>
          <w:rFonts w:ascii="Verdana" w:eastAsia="Times New Roman" w:hAnsi="Verdana" w:cs="Times New Roman"/>
          <w:kern w:val="3"/>
          <w:lang w:val="de-DE"/>
        </w:rPr>
        <w:t xml:space="preserve"> im Zeitraum </w:t>
      </w:r>
      <w:r w:rsidRPr="00055671">
        <w:rPr>
          <w:rFonts w:ascii="Verdana" w:eastAsia="Times New Roman" w:hAnsi="Verdana" w:cs="Times New Roman"/>
          <w:kern w:val="3"/>
          <w:lang w:val="de-DE"/>
        </w:rPr>
        <w:t>von</w:t>
      </w:r>
      <w:r w:rsidR="0041460A" w:rsidRPr="00055671">
        <w:rPr>
          <w:rFonts w:ascii="Verdana" w:eastAsia="Times New Roman" w:hAnsi="Verdana" w:cs="Times New Roman"/>
          <w:kern w:val="3"/>
          <w:lang w:val="de-DE"/>
        </w:rPr>
        <w:t xml:space="preserve"> Januar</w:t>
      </w:r>
      <w:r w:rsidRPr="00055671">
        <w:rPr>
          <w:rFonts w:ascii="Verdana" w:eastAsia="Times New Roman" w:hAnsi="Verdana" w:cs="Times New Roman"/>
          <w:kern w:val="3"/>
          <w:lang w:val="de-DE"/>
        </w:rPr>
        <w:t xml:space="preserve"> bis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41460A">
        <w:rPr>
          <w:rFonts w:ascii="Verdana" w:eastAsia="Times New Roman" w:hAnsi="Verdana" w:cs="Times New Roman"/>
          <w:kern w:val="3"/>
          <w:lang w:val="de-DE"/>
        </w:rPr>
        <w:t xml:space="preserve">August 2016 </w:t>
      </w:r>
      <w:r w:rsidR="004A7979" w:rsidRPr="00CD3B6B">
        <w:rPr>
          <w:rFonts w:ascii="Verdana" w:eastAsia="Times New Roman" w:hAnsi="Verdana" w:cs="Times New Roman"/>
          <w:kern w:val="3"/>
          <w:lang w:val="de-DE"/>
        </w:rPr>
        <w:t xml:space="preserve">über 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>Verivox</w:t>
      </w:r>
      <w:r w:rsidR="00055671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 xml:space="preserve">abgeschlossen wurden. Demnach zahlen Kreditnehmer zu zweit </w:t>
      </w:r>
      <w:r w:rsidRPr="00055671">
        <w:rPr>
          <w:rFonts w:ascii="Verdana" w:eastAsia="Times New Roman" w:hAnsi="Verdana" w:cs="Times New Roman"/>
          <w:kern w:val="3"/>
          <w:lang w:val="de-DE"/>
        </w:rPr>
        <w:t>im Durchschnitt</w:t>
      </w:r>
      <w:r w:rsidR="008D55DC" w:rsidRPr="00CD3B6B">
        <w:rPr>
          <w:rFonts w:ascii="Verdana" w:eastAsia="Times New Roman" w:hAnsi="Verdana" w:cs="Times New Roman"/>
          <w:kern w:val="3"/>
          <w:lang w:val="de-DE"/>
        </w:rPr>
        <w:t xml:space="preserve"> 20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 xml:space="preserve"> Prozent </w:t>
      </w:r>
      <w:r>
        <w:rPr>
          <w:rFonts w:ascii="Verdana" w:eastAsia="Times New Roman" w:hAnsi="Verdana" w:cs="Times New Roman"/>
          <w:kern w:val="3"/>
          <w:lang w:val="de-DE"/>
        </w:rPr>
        <w:t xml:space="preserve">weniger Zinsen für ihren Kredit. Analysiert wurden 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>Kreditsumme</w:t>
      </w:r>
      <w:r>
        <w:rPr>
          <w:rFonts w:ascii="Verdana" w:eastAsia="Times New Roman" w:hAnsi="Verdana" w:cs="Times New Roman"/>
          <w:kern w:val="3"/>
          <w:lang w:val="de-DE"/>
        </w:rPr>
        <w:t>n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 xml:space="preserve"> von </w:t>
      </w:r>
      <w:r w:rsidR="008D55DC" w:rsidRPr="00CD3B6B">
        <w:rPr>
          <w:rFonts w:ascii="Verdana" w:eastAsia="Times New Roman" w:hAnsi="Verdana" w:cs="Times New Roman"/>
          <w:kern w:val="3"/>
          <w:lang w:val="de-DE"/>
        </w:rPr>
        <w:t>12.000 bis 15.000</w:t>
      </w:r>
      <w:r w:rsidR="0046132D" w:rsidRPr="00CD3B6B">
        <w:rPr>
          <w:rFonts w:ascii="Verdana" w:eastAsia="Times New Roman" w:hAnsi="Verdana" w:cs="Times New Roman"/>
          <w:kern w:val="3"/>
          <w:lang w:val="de-DE"/>
        </w:rPr>
        <w:t xml:space="preserve"> Euro. </w:t>
      </w:r>
      <w:r>
        <w:rPr>
          <w:rFonts w:ascii="Verdana" w:eastAsia="Times New Roman" w:hAnsi="Verdana" w:cs="Times New Roman"/>
          <w:kern w:val="3"/>
          <w:lang w:val="de-DE"/>
        </w:rPr>
        <w:t>Vor der Unterschrift sollte</w:t>
      </w:r>
      <w:r w:rsidR="0035633B">
        <w:rPr>
          <w:rFonts w:ascii="Verdana" w:eastAsia="Times New Roman" w:hAnsi="Verdana" w:cs="Times New Roman"/>
          <w:kern w:val="3"/>
          <w:lang w:val="de-DE"/>
        </w:rPr>
        <w:t>n</w:t>
      </w:r>
      <w:r>
        <w:rPr>
          <w:rFonts w:ascii="Verdana" w:eastAsia="Times New Roman" w:hAnsi="Verdana" w:cs="Times New Roman"/>
          <w:kern w:val="3"/>
          <w:lang w:val="de-DE"/>
        </w:rPr>
        <w:t xml:space="preserve"> sich beide Kreditnehmer aber bewusst machen, dass jeder für den ganzen Kredit haftet</w:t>
      </w:r>
      <w:r w:rsidR="00E20D2B" w:rsidRPr="00CD3B6B">
        <w:rPr>
          <w:rFonts w:ascii="Verdana" w:eastAsia="Times New Roman" w:hAnsi="Verdana" w:cs="Times New Roman"/>
          <w:kern w:val="3"/>
          <w:lang w:val="de-DE"/>
        </w:rPr>
        <w:t xml:space="preserve">. </w:t>
      </w:r>
    </w:p>
    <w:p w:rsidR="006767C0" w:rsidRPr="00CD3B6B" w:rsidRDefault="003A701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>Tagesgeld – In</w:t>
      </w:r>
      <w:r w:rsidR="0010031E" w:rsidRPr="00CD3B6B">
        <w:rPr>
          <w:rFonts w:ascii="Verdana" w:eastAsia="Times New Roman" w:hAnsi="Verdana" w:cs="Times New Roman"/>
          <w:b/>
          <w:kern w:val="3"/>
          <w:lang w:val="de-DE"/>
        </w:rPr>
        <w:t>flation dauerhaft schlagen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 xml:space="preserve">Ein durchschnittlich verzinstes Tagesgeld bringt dem Sparer momentan 0,06 Prozent Rendite, wie eine Auswertung der Verivox-Datenbank mit Angeboten von 800 Banken und Sparkassen zeigt. In Wirklichkeit wird das Geld aber weniger. Werden die </w:t>
      </w:r>
      <w:r w:rsidRPr="00055671">
        <w:rPr>
          <w:rFonts w:ascii="Verdana" w:eastAsia="Times New Roman" w:hAnsi="Verdana" w:cs="Times New Roman"/>
          <w:kern w:val="3"/>
          <w:lang w:val="de-DE"/>
        </w:rPr>
        <w:t xml:space="preserve">0,24 Prozent </w:t>
      </w:r>
      <w:r w:rsidR="00055671">
        <w:rPr>
          <w:rFonts w:ascii="Verdana" w:eastAsia="Times New Roman" w:hAnsi="Verdana" w:cs="Times New Roman"/>
          <w:kern w:val="3"/>
          <w:lang w:val="de-DE"/>
        </w:rPr>
        <w:t xml:space="preserve"> </w:t>
      </w:r>
      <w:r>
        <w:rPr>
          <w:rFonts w:ascii="Verdana" w:eastAsia="Times New Roman" w:hAnsi="Verdana" w:cs="Times New Roman"/>
          <w:kern w:val="3"/>
          <w:lang w:val="de-DE"/>
        </w:rPr>
        <w:t>Inflation</w:t>
      </w:r>
      <w:r w:rsidR="00055671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055671" w:rsidRPr="00055671">
        <w:rPr>
          <w:rFonts w:ascii="Verdana" w:eastAsia="Times New Roman" w:hAnsi="Verdana" w:cs="Times New Roman"/>
          <w:kern w:val="3"/>
          <w:lang w:val="de-DE"/>
        </w:rPr>
        <w:t>(Jan. – Aug. 2016)</w:t>
      </w:r>
      <w:r w:rsidR="00055671">
        <w:rPr>
          <w:rFonts w:ascii="Verdana" w:eastAsia="Times New Roman" w:hAnsi="Verdana" w:cs="Times New Roman"/>
          <w:kern w:val="3"/>
          <w:lang w:val="de-DE"/>
        </w:rPr>
        <w:t xml:space="preserve"> </w:t>
      </w:r>
      <w:r>
        <w:rPr>
          <w:rFonts w:ascii="Verdana" w:eastAsia="Times New Roman" w:hAnsi="Verdana" w:cs="Times New Roman"/>
          <w:kern w:val="3"/>
          <w:lang w:val="de-DE"/>
        </w:rPr>
        <w:t xml:space="preserve"> einkalkuliert, dann bleiben von 10.000 Euro nach einem Jahr nur noch </w:t>
      </w:r>
      <w:r w:rsidRPr="00055671">
        <w:rPr>
          <w:rFonts w:ascii="Verdana" w:eastAsia="Times New Roman" w:hAnsi="Verdana" w:cs="Times New Roman"/>
          <w:kern w:val="3"/>
          <w:lang w:val="de-DE"/>
        </w:rPr>
        <w:t>9</w:t>
      </w:r>
      <w:r w:rsidR="00F2676F">
        <w:rPr>
          <w:rFonts w:ascii="Verdana" w:eastAsia="Times New Roman" w:hAnsi="Verdana" w:cs="Times New Roman"/>
          <w:kern w:val="3"/>
          <w:lang w:val="de-DE"/>
        </w:rPr>
        <w:t>.</w:t>
      </w:r>
      <w:r w:rsidRPr="00055671">
        <w:rPr>
          <w:rFonts w:ascii="Verdana" w:eastAsia="Times New Roman" w:hAnsi="Verdana" w:cs="Times New Roman"/>
          <w:kern w:val="3"/>
          <w:lang w:val="de-DE"/>
        </w:rPr>
        <w:t>9</w:t>
      </w:r>
      <w:r w:rsidR="0069449E" w:rsidRPr="00055671">
        <w:rPr>
          <w:rFonts w:ascii="Verdana" w:eastAsia="Times New Roman" w:hAnsi="Verdana" w:cs="Times New Roman"/>
          <w:kern w:val="3"/>
          <w:lang w:val="de-DE"/>
        </w:rPr>
        <w:t>82</w:t>
      </w:r>
      <w:r>
        <w:rPr>
          <w:rFonts w:ascii="Verdana" w:eastAsia="Times New Roman" w:hAnsi="Verdana" w:cs="Times New Roman"/>
          <w:kern w:val="3"/>
          <w:lang w:val="de-DE"/>
        </w:rPr>
        <w:t xml:space="preserve"> Euro übrig.</w:t>
      </w:r>
    </w:p>
    <w:p w:rsidR="001D5ADF" w:rsidRP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Dass es ander</w:t>
      </w:r>
      <w:r w:rsidR="00C10407">
        <w:rPr>
          <w:rFonts w:ascii="Verdana" w:eastAsia="Times New Roman" w:hAnsi="Verdana" w:cs="Times New Roman"/>
          <w:kern w:val="3"/>
          <w:lang w:val="de-DE"/>
        </w:rPr>
        <w:t>s</w:t>
      </w:r>
      <w:r>
        <w:rPr>
          <w:rFonts w:ascii="Verdana" w:eastAsia="Times New Roman" w:hAnsi="Verdana" w:cs="Times New Roman"/>
          <w:kern w:val="3"/>
          <w:lang w:val="de-DE"/>
        </w:rPr>
        <w:t xml:space="preserve"> geht, beweisen </w:t>
      </w:r>
      <w:r w:rsidR="002A6753" w:rsidRPr="00CD3B6B">
        <w:rPr>
          <w:rFonts w:ascii="Verdana" w:eastAsia="Times New Roman" w:hAnsi="Verdana" w:cs="Times New Roman"/>
          <w:kern w:val="3"/>
          <w:lang w:val="de-DE"/>
        </w:rPr>
        <w:t>Tagesgeld</w:t>
      </w:r>
      <w:r>
        <w:rPr>
          <w:rFonts w:ascii="Verdana" w:eastAsia="Times New Roman" w:hAnsi="Verdana" w:cs="Times New Roman"/>
          <w:kern w:val="3"/>
          <w:lang w:val="de-DE"/>
        </w:rPr>
        <w:t>er</w:t>
      </w:r>
      <w:r w:rsidR="002A6753" w:rsidRPr="00CD3B6B">
        <w:rPr>
          <w:rFonts w:ascii="Verdana" w:eastAsia="Times New Roman" w:hAnsi="Verdana" w:cs="Times New Roman"/>
          <w:kern w:val="3"/>
          <w:lang w:val="de-DE"/>
        </w:rPr>
        <w:t xml:space="preserve"> mit </w:t>
      </w:r>
      <w:r>
        <w:rPr>
          <w:rFonts w:ascii="Verdana" w:eastAsia="Times New Roman" w:hAnsi="Verdana" w:cs="Times New Roman"/>
          <w:kern w:val="3"/>
          <w:lang w:val="de-DE"/>
        </w:rPr>
        <w:t xml:space="preserve">Top-Zinsen (1,00 Prozent). Damit schlagen Sparer die Inflation dauerhaft. Die Rendite nach Inflation: </w:t>
      </w:r>
      <w:r w:rsidRPr="00055671">
        <w:rPr>
          <w:rFonts w:ascii="Verdana" w:eastAsia="Times New Roman" w:hAnsi="Verdana" w:cs="Times New Roman"/>
          <w:kern w:val="3"/>
          <w:lang w:val="de-DE"/>
        </w:rPr>
        <w:t>10.0</w:t>
      </w:r>
      <w:r w:rsidR="0069449E" w:rsidRPr="00055671">
        <w:rPr>
          <w:rFonts w:ascii="Verdana" w:eastAsia="Times New Roman" w:hAnsi="Verdana" w:cs="Times New Roman"/>
          <w:kern w:val="3"/>
          <w:lang w:val="de-DE"/>
        </w:rPr>
        <w:t>76</w:t>
      </w:r>
      <w:r w:rsidRPr="00055671">
        <w:rPr>
          <w:rFonts w:ascii="Verdana" w:eastAsia="Times New Roman" w:hAnsi="Verdana" w:cs="Times New Roman"/>
          <w:kern w:val="3"/>
          <w:lang w:val="de-DE"/>
        </w:rPr>
        <w:t xml:space="preserve"> Euro.</w:t>
      </w:r>
      <w:r w:rsidR="001D3D97"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</w:p>
    <w:p w:rsidR="0010031E" w:rsidRPr="00CD3B6B" w:rsidRDefault="0010031E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>Baufinanzierung: Zins</w:t>
      </w:r>
      <w:r w:rsidR="001D5ADF" w:rsidRPr="00CD3B6B">
        <w:rPr>
          <w:rFonts w:ascii="Verdana" w:eastAsia="Times New Roman" w:hAnsi="Verdana" w:cs="Times New Roman"/>
          <w:b/>
          <w:kern w:val="3"/>
          <w:lang w:val="de-DE"/>
        </w:rPr>
        <w:t>bindung richtig wählen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Noch nie waren die Zinsen für die Baufinanzierung so niedrig wie heute. Sollen sich Hauskäufer diese Konditionen jetzt lieber für 10 oder für 20 Jahre sichern? Das Dilemma: Bei der längeren Laufzeit ist das Risiko der Bank höher und sie verlangt einen Zins</w:t>
      </w:r>
      <w:r w:rsidR="00F2676F">
        <w:rPr>
          <w:rFonts w:ascii="Verdana" w:eastAsia="Times New Roman" w:hAnsi="Verdana" w:cs="Times New Roman"/>
          <w:kern w:val="3"/>
          <w:lang w:val="de-DE"/>
        </w:rPr>
        <w:t>aufschlag</w:t>
      </w:r>
      <w:r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Pr="00C75B72">
        <w:rPr>
          <w:rFonts w:ascii="Verdana" w:eastAsia="Times New Roman" w:hAnsi="Verdana" w:cs="Times New Roman"/>
          <w:kern w:val="3"/>
          <w:lang w:val="de-DE"/>
        </w:rPr>
        <w:t xml:space="preserve">– </w:t>
      </w:r>
      <w:r w:rsidR="00410CE7" w:rsidRPr="00C75B72">
        <w:rPr>
          <w:rFonts w:ascii="Verdana" w:eastAsia="Times New Roman" w:hAnsi="Verdana" w:cs="Times New Roman"/>
          <w:kern w:val="3"/>
          <w:lang w:val="de-DE"/>
        </w:rPr>
        <w:t>1</w:t>
      </w:r>
      <w:r w:rsidRPr="00C75B72">
        <w:rPr>
          <w:rFonts w:ascii="Verdana" w:eastAsia="Times New Roman" w:hAnsi="Verdana" w:cs="Times New Roman"/>
          <w:kern w:val="3"/>
          <w:lang w:val="de-DE"/>
        </w:rPr>
        <w:t>,</w:t>
      </w:r>
      <w:r w:rsidR="00B84722">
        <w:rPr>
          <w:rFonts w:ascii="Verdana" w:eastAsia="Times New Roman" w:hAnsi="Verdana" w:cs="Times New Roman"/>
          <w:kern w:val="3"/>
          <w:lang w:val="de-DE"/>
        </w:rPr>
        <w:t>69</w:t>
      </w:r>
      <w:r>
        <w:rPr>
          <w:rFonts w:ascii="Verdana" w:eastAsia="Times New Roman" w:hAnsi="Verdana" w:cs="Times New Roman"/>
          <w:kern w:val="3"/>
          <w:lang w:val="de-DE"/>
        </w:rPr>
        <w:t xml:space="preserve"> Prozent statt </w:t>
      </w:r>
      <w:r w:rsidR="00B84722">
        <w:rPr>
          <w:rFonts w:ascii="Verdana" w:eastAsia="Times New Roman" w:hAnsi="Verdana" w:cs="Times New Roman"/>
          <w:kern w:val="3"/>
          <w:lang w:val="de-DE"/>
        </w:rPr>
        <w:t>1,02</w:t>
      </w:r>
      <w:r>
        <w:rPr>
          <w:rFonts w:ascii="Verdana" w:eastAsia="Times New Roman" w:hAnsi="Verdana" w:cs="Times New Roman"/>
          <w:kern w:val="3"/>
          <w:lang w:val="de-DE"/>
        </w:rPr>
        <w:t xml:space="preserve"> Prozent für 10 Jahre. Ab wann lohnt es sich, diesen Aufschlag in Kauf zu nehmen?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 xml:space="preserve">Eine Modellrechnung für einen 200.000-Euro-Kredit mit einer Monatsrate von 800 Euro bringt Klarheit. </w:t>
      </w:r>
      <w:r w:rsidR="00B84722">
        <w:rPr>
          <w:rFonts w:ascii="Verdana" w:eastAsia="Times New Roman" w:hAnsi="Verdana" w:cs="Times New Roman"/>
          <w:kern w:val="3"/>
          <w:lang w:val="de-DE"/>
        </w:rPr>
        <w:t>Liegt</w:t>
      </w:r>
      <w:r>
        <w:rPr>
          <w:rFonts w:ascii="Verdana" w:eastAsia="Times New Roman" w:hAnsi="Verdana" w:cs="Times New Roman"/>
          <w:kern w:val="3"/>
          <w:lang w:val="de-DE"/>
        </w:rPr>
        <w:t xml:space="preserve"> der Zins </w:t>
      </w:r>
      <w:r w:rsidR="00B84722">
        <w:rPr>
          <w:rFonts w:ascii="Verdana" w:eastAsia="Times New Roman" w:hAnsi="Verdana" w:cs="Times New Roman"/>
          <w:kern w:val="3"/>
          <w:lang w:val="de-DE"/>
        </w:rPr>
        <w:t>in zehn Jahren</w:t>
      </w:r>
      <w:r>
        <w:rPr>
          <w:rFonts w:ascii="Verdana" w:eastAsia="Times New Roman" w:hAnsi="Verdana" w:cs="Times New Roman"/>
          <w:kern w:val="3"/>
          <w:lang w:val="de-DE"/>
        </w:rPr>
        <w:t xml:space="preserve"> über </w:t>
      </w:r>
      <w:r w:rsidRPr="00B84722">
        <w:rPr>
          <w:rFonts w:ascii="Verdana" w:eastAsia="Times New Roman" w:hAnsi="Verdana" w:cs="Times New Roman"/>
          <w:kern w:val="3"/>
          <w:lang w:val="de-DE"/>
        </w:rPr>
        <w:t>3,</w:t>
      </w:r>
      <w:r w:rsidR="00B84722">
        <w:rPr>
          <w:rFonts w:ascii="Verdana" w:eastAsia="Times New Roman" w:hAnsi="Verdana" w:cs="Times New Roman"/>
          <w:kern w:val="3"/>
          <w:lang w:val="de-DE"/>
        </w:rPr>
        <w:t>1</w:t>
      </w:r>
      <w:r w:rsidR="009E3E95">
        <w:rPr>
          <w:rFonts w:ascii="Verdana" w:eastAsia="Times New Roman" w:hAnsi="Verdana" w:cs="Times New Roman"/>
          <w:kern w:val="3"/>
          <w:lang w:val="de-DE"/>
        </w:rPr>
        <w:t>8</w:t>
      </w:r>
      <w:r>
        <w:rPr>
          <w:rFonts w:ascii="Verdana" w:eastAsia="Times New Roman" w:hAnsi="Verdana" w:cs="Times New Roman"/>
          <w:kern w:val="3"/>
          <w:lang w:val="de-DE"/>
        </w:rPr>
        <w:t xml:space="preserve"> Prozent, dann ist die 20-jährige Zinsbindung günstiger. Bleibt der Zins unter dieser Marke, dann wäre es günstiger</w:t>
      </w:r>
      <w:r w:rsidR="00B84722">
        <w:rPr>
          <w:rFonts w:ascii="Verdana" w:eastAsia="Times New Roman" w:hAnsi="Verdana" w:cs="Times New Roman"/>
          <w:kern w:val="3"/>
          <w:lang w:val="de-DE"/>
        </w:rPr>
        <w:t>, jetzt</w:t>
      </w:r>
      <w:r>
        <w:rPr>
          <w:rFonts w:ascii="Verdana" w:eastAsia="Times New Roman" w:hAnsi="Verdana" w:cs="Times New Roman"/>
          <w:kern w:val="3"/>
          <w:lang w:val="de-DE"/>
        </w:rPr>
        <w:t xml:space="preserve"> einen Kredit über 10 Jahre abzuschließen und danach eine Anschlussfinanzierung mit den dann gültigen Zinsen zu suchen.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Niemand kann in die Glaskugel schauen, welche Variante sich am Ende lohnt. Wer besonders viel Wert auf Planungssicherheit legt, der sichert sich lieber die Konditionen für 20 Jahre.</w:t>
      </w:r>
    </w:p>
    <w:p w:rsidR="00B84722" w:rsidRDefault="00B84722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</w:p>
    <w:p w:rsidR="009E3E95" w:rsidRDefault="00B84722" w:rsidP="009E3E95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lastRenderedPageBreak/>
        <w:t>Modellrechnung:</w:t>
      </w:r>
      <w:r w:rsidR="009E3E95" w:rsidRPr="00CD3B6B">
        <w:rPr>
          <w:rFonts w:ascii="Verdana" w:eastAsia="Times New Roman" w:hAnsi="Verdana" w:cs="Times New Roman"/>
          <w:b/>
          <w:kern w:val="3"/>
          <w:lang w:val="de-DE"/>
        </w:rPr>
        <w:t xml:space="preserve"> </w:t>
      </w:r>
    </w:p>
    <w:tbl>
      <w:tblPr>
        <w:tblW w:w="9500" w:type="dxa"/>
        <w:tblInd w:w="96" w:type="dxa"/>
        <w:tblLook w:val="04A0"/>
      </w:tblPr>
      <w:tblGrid>
        <w:gridCol w:w="3300"/>
        <w:gridCol w:w="3100"/>
        <w:gridCol w:w="3100"/>
      </w:tblGrid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Kaufpreis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300,000.00 €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Kreditsumme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200,000.00 €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Monatliches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Budget: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3E95" w:rsidRPr="009E3E95" w:rsidTr="009E3E95">
        <w:trPr>
          <w:trHeight w:val="780"/>
        </w:trPr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7F7F7F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3100" w:type="dxa"/>
            <w:tcBorders>
              <w:top w:val="single" w:sz="8" w:space="0" w:color="FFFFFF"/>
              <w:left w:val="nil"/>
              <w:bottom w:val="nil"/>
              <w:right w:val="single" w:sz="4" w:space="0" w:color="FFFFFF"/>
            </w:tcBorders>
            <w:shd w:val="clear" w:color="000000" w:fill="7F7F7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10 </w:t>
            </w: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Jahre</w:t>
            </w:r>
            <w:proofErr w:type="spellEnd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Zinsbindung</w:t>
            </w:r>
            <w:proofErr w:type="spellEnd"/>
          </w:p>
        </w:tc>
        <w:tc>
          <w:tcPr>
            <w:tcW w:w="31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7F7F7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20 </w:t>
            </w: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Jahre</w:t>
            </w:r>
            <w:proofErr w:type="spellEnd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Zinsbindung</w:t>
            </w:r>
            <w:proofErr w:type="spellEnd"/>
          </w:p>
        </w:tc>
      </w:tr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Zins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nom. p.a.: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1.69%</w:t>
            </w:r>
          </w:p>
        </w:tc>
      </w:tr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Monatsrate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800.00 €</w:t>
            </w:r>
          </w:p>
        </w:tc>
      </w:tr>
      <w:tr w:rsidR="009E3E95" w:rsidRPr="009E3E95" w:rsidTr="009E3E95">
        <w:trPr>
          <w:trHeight w:val="408"/>
        </w:trPr>
        <w:tc>
          <w:tcPr>
            <w:tcW w:w="33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Restschuld</w:t>
            </w:r>
            <w:proofErr w:type="spellEnd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nach</w:t>
            </w:r>
            <w:proofErr w:type="spellEnd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 xml:space="preserve"> 10 </w:t>
            </w:r>
            <w:proofErr w:type="spellStart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Jahren</w:t>
            </w:r>
            <w:proofErr w:type="spellEnd"/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120,445.46 €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sz w:val="20"/>
                <w:szCs w:val="20"/>
              </w:rPr>
              <w:t>132,286.88 €</w:t>
            </w:r>
          </w:p>
        </w:tc>
      </w:tr>
      <w:tr w:rsidR="009E3E95" w:rsidRPr="0081001F" w:rsidTr="009E3E95">
        <w:trPr>
          <w:trHeight w:val="780"/>
        </w:trPr>
        <w:tc>
          <w:tcPr>
            <w:tcW w:w="33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7F7F7F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2026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F7F7F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Anschlussfinanzierung</w:t>
            </w:r>
            <w:proofErr w:type="spellEnd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notwendig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F7F7F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de-DE"/>
              </w:rPr>
              <w:t>Kredit läuft mit gleichen Konditionen weiter</w:t>
            </w:r>
          </w:p>
        </w:tc>
      </w:tr>
      <w:tr w:rsidR="009E3E95" w:rsidRPr="0081001F" w:rsidTr="009E3E95">
        <w:trPr>
          <w:trHeight w:val="10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8D8D8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de-DE"/>
              </w:rPr>
              <w:t>Fazit:</w:t>
            </w:r>
            <w:r w:rsidRPr="009E3E95">
              <w:rPr>
                <w:rFonts w:ascii="Verdana" w:eastAsia="Times New Roman" w:hAnsi="Verdana" w:cs="Times New Roman"/>
                <w:sz w:val="20"/>
                <w:szCs w:val="20"/>
                <w:lang w:val="de-DE"/>
              </w:rPr>
              <w:t xml:space="preserve"> Liegt der Zins für die Anschlussfinanzierung im Jahr 2026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de-DE"/>
              </w:rPr>
              <w:t> </w:t>
            </w:r>
          </w:p>
        </w:tc>
      </w:tr>
      <w:tr w:rsidR="009E3E95" w:rsidRPr="0081001F" w:rsidTr="009E3E95">
        <w:trPr>
          <w:trHeight w:val="1080"/>
        </w:trPr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/>
              </w:rPr>
              <w:t>niedriger als 3,18%</w:t>
            </w: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>eff</w:t>
            </w:r>
            <w:proofErr w:type="spell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>.,</w:t>
            </w:r>
            <w:proofErr w:type="gramEnd"/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 xml:space="preserve"> dann ist die 10-jährige Zinsbindung günstiger.</w:t>
            </w:r>
          </w:p>
        </w:tc>
        <w:tc>
          <w:tcPr>
            <w:tcW w:w="3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 xml:space="preserve">bei </w:t>
            </w:r>
            <w:r w:rsidRPr="009E3E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/>
              </w:rPr>
              <w:t>genau 3,18%</w:t>
            </w: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 xml:space="preserve"> eff., dann sind 10- und 20-jährige Zinsbindung gleich günstig</w:t>
            </w:r>
          </w:p>
        </w:tc>
        <w:tc>
          <w:tcPr>
            <w:tcW w:w="3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höher als 3,18% </w:t>
            </w:r>
            <w:r w:rsidRPr="009E3E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/>
              </w:rPr>
              <w:t>eff., dann ist die 20-jährige Zinsbindung günstiger.</w:t>
            </w:r>
          </w:p>
        </w:tc>
      </w:tr>
      <w:tr w:rsidR="009E3E95" w:rsidRPr="0081001F" w:rsidTr="009E3E95">
        <w:trPr>
          <w:trHeight w:val="408"/>
        </w:trPr>
        <w:tc>
          <w:tcPr>
            <w:tcW w:w="9500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9E3E95" w:rsidRPr="009E3E95" w:rsidRDefault="009E3E95" w:rsidP="009E3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de-DE"/>
              </w:rPr>
            </w:pPr>
            <w:r w:rsidRPr="009E3E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de-DE"/>
              </w:rPr>
              <w:t>Zinssätze: 2/3 aller Bankkunden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de-DE"/>
              </w:rPr>
              <w:t xml:space="preserve"> erhalten</w:t>
            </w:r>
            <w:r w:rsidRPr="009E3E9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de-DE"/>
              </w:rPr>
              <w:t xml:space="preserve"> die zu Grunde gelegten Zinssätze oder bessere Konditionen.</w:t>
            </w:r>
          </w:p>
        </w:tc>
      </w:tr>
    </w:tbl>
    <w:p w:rsidR="009E3E95" w:rsidRDefault="009E3E95" w:rsidP="009E3E95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</w:p>
    <w:p w:rsidR="0010031E" w:rsidRPr="00CD3B6B" w:rsidRDefault="00BD23B5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>Kostenloses Girokonto finden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Viele</w:t>
      </w:r>
      <w:r w:rsidR="003A701B" w:rsidRPr="00CD3B6B">
        <w:rPr>
          <w:rFonts w:ascii="Verdana" w:eastAsia="Times New Roman" w:hAnsi="Verdana" w:cs="Times New Roman"/>
          <w:kern w:val="3"/>
          <w:lang w:val="de-DE"/>
        </w:rPr>
        <w:t xml:space="preserve"> Banken </w:t>
      </w:r>
      <w:r w:rsidR="00F2676F">
        <w:rPr>
          <w:rFonts w:ascii="Verdana" w:eastAsia="Times New Roman" w:hAnsi="Verdana" w:cs="Times New Roman"/>
          <w:kern w:val="3"/>
          <w:lang w:val="de-DE"/>
        </w:rPr>
        <w:t>drehen an der Kosten</w:t>
      </w:r>
      <w:r>
        <w:rPr>
          <w:rFonts w:ascii="Verdana" w:eastAsia="Times New Roman" w:hAnsi="Verdana" w:cs="Times New Roman"/>
          <w:kern w:val="3"/>
          <w:lang w:val="de-DE"/>
        </w:rPr>
        <w:t>schraube, sie erhöhen Monatsgebühren für das Girokonto oder führen Gebühren für beleghafte Zahlungen ein</w:t>
      </w:r>
      <w:r w:rsidR="00822795" w:rsidRPr="00CD3B6B">
        <w:rPr>
          <w:rFonts w:ascii="Verdana" w:eastAsia="Times New Roman" w:hAnsi="Verdana" w:cs="Times New Roman"/>
          <w:kern w:val="3"/>
          <w:lang w:val="de-DE"/>
        </w:rPr>
        <w:t xml:space="preserve">. </w:t>
      </w:r>
      <w:r w:rsidR="00F2676F">
        <w:rPr>
          <w:rFonts w:ascii="Verdana" w:eastAsia="Times New Roman" w:hAnsi="Verdana" w:cs="Times New Roman"/>
          <w:kern w:val="3"/>
          <w:lang w:val="de-DE"/>
        </w:rPr>
        <w:t>„</w:t>
      </w:r>
      <w:r>
        <w:rPr>
          <w:rFonts w:ascii="Verdana" w:eastAsia="Times New Roman" w:hAnsi="Verdana" w:cs="Times New Roman"/>
          <w:kern w:val="3"/>
          <w:lang w:val="de-DE"/>
        </w:rPr>
        <w:t>Das kostenlose Girokonto ist auf dem R</w:t>
      </w:r>
      <w:r w:rsidR="00F2676F">
        <w:rPr>
          <w:rFonts w:ascii="Verdana" w:eastAsia="Times New Roman" w:hAnsi="Verdana" w:cs="Times New Roman"/>
          <w:kern w:val="3"/>
          <w:lang w:val="de-DE"/>
        </w:rPr>
        <w:t>ückzug, aber nicht verschwunden“, sagt Guido Syré, Geschäftsführer der Verivox Finanzvergleich GmbH.</w:t>
      </w:r>
    </w:p>
    <w:p w:rsidR="00CD3B6B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Besonder</w:t>
      </w:r>
      <w:r w:rsidR="00B95393">
        <w:rPr>
          <w:rFonts w:ascii="Verdana" w:eastAsia="Times New Roman" w:hAnsi="Verdana" w:cs="Times New Roman"/>
          <w:kern w:val="3"/>
          <w:lang w:val="de-DE"/>
        </w:rPr>
        <w:t>s</w:t>
      </w:r>
      <w:r>
        <w:rPr>
          <w:rFonts w:ascii="Verdana" w:eastAsia="Times New Roman" w:hAnsi="Verdana" w:cs="Times New Roman"/>
          <w:kern w:val="3"/>
          <w:lang w:val="de-DE"/>
        </w:rPr>
        <w:t xml:space="preserve"> Verbraucher, die </w:t>
      </w:r>
      <w:r w:rsidR="00F2676F">
        <w:rPr>
          <w:rFonts w:ascii="Verdana" w:eastAsia="Times New Roman" w:hAnsi="Verdana" w:cs="Times New Roman"/>
          <w:kern w:val="3"/>
          <w:lang w:val="de-DE"/>
        </w:rPr>
        <w:t>alle</w:t>
      </w:r>
      <w:r>
        <w:rPr>
          <w:rFonts w:ascii="Verdana" w:eastAsia="Times New Roman" w:hAnsi="Verdana" w:cs="Times New Roman"/>
          <w:kern w:val="3"/>
          <w:lang w:val="de-DE"/>
        </w:rPr>
        <w:t xml:space="preserve"> Bankgeschäfte online erledigen, </w:t>
      </w:r>
      <w:r w:rsidR="00B84722">
        <w:rPr>
          <w:rFonts w:ascii="Verdana" w:eastAsia="Times New Roman" w:hAnsi="Verdana" w:cs="Times New Roman"/>
          <w:kern w:val="3"/>
          <w:lang w:val="de-DE"/>
        </w:rPr>
        <w:t>werden weiter fündig</w:t>
      </w:r>
      <w:r w:rsidR="008C5DDE" w:rsidRPr="00CD3B6B">
        <w:rPr>
          <w:rFonts w:ascii="Verdana" w:eastAsia="Times New Roman" w:hAnsi="Verdana" w:cs="Times New Roman"/>
          <w:kern w:val="3"/>
          <w:lang w:val="de-DE"/>
        </w:rPr>
        <w:t>.</w:t>
      </w:r>
      <w:r w:rsidR="00822795"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8D2F87">
        <w:rPr>
          <w:rFonts w:ascii="Verdana" w:eastAsia="Times New Roman" w:hAnsi="Verdana" w:cs="Times New Roman"/>
          <w:kern w:val="3"/>
          <w:lang w:val="de-DE"/>
        </w:rPr>
        <w:t>Bei Top-</w:t>
      </w:r>
      <w:r w:rsidR="00B84722">
        <w:rPr>
          <w:rFonts w:ascii="Verdana" w:eastAsia="Times New Roman" w:hAnsi="Verdana" w:cs="Times New Roman"/>
          <w:kern w:val="3"/>
          <w:lang w:val="de-DE"/>
        </w:rPr>
        <w:t>Angeboten</w:t>
      </w:r>
      <w:r>
        <w:rPr>
          <w:rFonts w:ascii="Verdana" w:eastAsia="Times New Roman" w:hAnsi="Verdana" w:cs="Times New Roman"/>
          <w:kern w:val="3"/>
          <w:lang w:val="de-DE"/>
        </w:rPr>
        <w:t xml:space="preserve"> gibt es keine monatlichen Grundgebühren, </w:t>
      </w:r>
      <w:r w:rsidR="00D616D0" w:rsidRPr="00CD3B6B">
        <w:rPr>
          <w:rFonts w:ascii="Verdana" w:eastAsia="Times New Roman" w:hAnsi="Verdana" w:cs="Times New Roman"/>
          <w:kern w:val="3"/>
          <w:lang w:val="de-DE"/>
        </w:rPr>
        <w:t>Überweisungen und Daueraufträge</w:t>
      </w:r>
      <w:r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F2676F">
        <w:rPr>
          <w:rFonts w:ascii="Verdana" w:eastAsia="Times New Roman" w:hAnsi="Verdana" w:cs="Times New Roman"/>
          <w:kern w:val="3"/>
          <w:lang w:val="de-DE"/>
        </w:rPr>
        <w:t>kosten nichts</w:t>
      </w:r>
      <w:r>
        <w:rPr>
          <w:rFonts w:ascii="Verdana" w:eastAsia="Times New Roman" w:hAnsi="Verdana" w:cs="Times New Roman"/>
          <w:kern w:val="3"/>
          <w:lang w:val="de-DE"/>
        </w:rPr>
        <w:t xml:space="preserve"> und auch die Girocard (früher EC-Karte) und die Kreditkarte sind kostenlos.</w:t>
      </w:r>
    </w:p>
    <w:p w:rsidR="00B84722" w:rsidRPr="009E3E95" w:rsidRDefault="00CD3B6B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Angst vor dem Kontowechsel muss niemand mehr haben. Seit September</w:t>
      </w:r>
      <w:r w:rsidR="00B84722">
        <w:rPr>
          <w:rFonts w:ascii="Verdana" w:eastAsia="Times New Roman" w:hAnsi="Verdana" w:cs="Times New Roman"/>
          <w:kern w:val="3"/>
          <w:lang w:val="de-DE"/>
        </w:rPr>
        <w:t xml:space="preserve"> 2016</w:t>
      </w:r>
      <w:r>
        <w:rPr>
          <w:rFonts w:ascii="Verdana" w:eastAsia="Times New Roman" w:hAnsi="Verdana" w:cs="Times New Roman"/>
          <w:kern w:val="3"/>
          <w:lang w:val="de-DE"/>
        </w:rPr>
        <w:t xml:space="preserve"> sind Banken gesetzlich verpflichtet, Kunden dabei zu unterstützen</w:t>
      </w:r>
      <w:r w:rsidR="00533679" w:rsidRPr="00CD3B6B">
        <w:rPr>
          <w:rFonts w:ascii="Verdana" w:eastAsia="Times New Roman" w:hAnsi="Verdana" w:cs="Times New Roman"/>
          <w:kern w:val="3"/>
          <w:lang w:val="de-DE"/>
        </w:rPr>
        <w:t>.</w:t>
      </w:r>
      <w:r>
        <w:rPr>
          <w:rFonts w:ascii="Verdana" w:eastAsia="Times New Roman" w:hAnsi="Verdana" w:cs="Times New Roman"/>
          <w:kern w:val="3"/>
          <w:lang w:val="de-DE"/>
        </w:rPr>
        <w:t xml:space="preserve"> So ziehen alle Daueraufträge und Lastschriften sicher mit um.</w:t>
      </w:r>
    </w:p>
    <w:p w:rsidR="00BD23B5" w:rsidRPr="00CD3B6B" w:rsidRDefault="00BD23B5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 xml:space="preserve">Fonds – </w:t>
      </w:r>
      <w:r w:rsidR="00D616D0" w:rsidRPr="00CD3B6B">
        <w:rPr>
          <w:rFonts w:ascii="Verdana" w:eastAsia="Times New Roman" w:hAnsi="Verdana" w:cs="Times New Roman"/>
          <w:b/>
          <w:kern w:val="3"/>
          <w:lang w:val="de-DE"/>
        </w:rPr>
        <w:t xml:space="preserve">Gebühr für Fondsvermittler </w:t>
      </w:r>
      <w:r w:rsidRPr="00CD3B6B">
        <w:rPr>
          <w:rFonts w:ascii="Verdana" w:eastAsia="Times New Roman" w:hAnsi="Verdana" w:cs="Times New Roman"/>
          <w:b/>
          <w:kern w:val="3"/>
          <w:lang w:val="de-DE"/>
        </w:rPr>
        <w:t>sparen</w:t>
      </w:r>
    </w:p>
    <w:p w:rsidR="008767B4" w:rsidRPr="00CD3B6B" w:rsidRDefault="008767B4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 w:rsidRPr="00CD3B6B">
        <w:rPr>
          <w:rFonts w:ascii="Verdana" w:eastAsia="Times New Roman" w:hAnsi="Verdana" w:cs="Times New Roman"/>
          <w:kern w:val="3"/>
          <w:lang w:val="de-DE"/>
        </w:rPr>
        <w:t xml:space="preserve">Der durchschnittliche Ausgabeaufschlag bei </w:t>
      </w:r>
      <w:r w:rsidR="00CD3B6B">
        <w:rPr>
          <w:rFonts w:ascii="Verdana" w:eastAsia="Times New Roman" w:hAnsi="Verdana" w:cs="Times New Roman"/>
          <w:kern w:val="3"/>
          <w:lang w:val="de-DE"/>
        </w:rPr>
        <w:t>Aktienfonds liegt bei 5 Prozent</w:t>
      </w:r>
      <w:r w:rsidRPr="00CD3B6B">
        <w:rPr>
          <w:rFonts w:ascii="Verdana" w:eastAsia="Times New Roman" w:hAnsi="Verdana" w:cs="Times New Roman"/>
          <w:kern w:val="3"/>
          <w:lang w:val="de-DE"/>
        </w:rPr>
        <w:t xml:space="preserve">. Bei einer Anlagesumme von 10.000 Euro würde der Anleger </w:t>
      </w:r>
      <w:r w:rsidR="008B72C4" w:rsidRPr="00CD3B6B">
        <w:rPr>
          <w:rFonts w:ascii="Verdana" w:eastAsia="Times New Roman" w:hAnsi="Verdana" w:cs="Times New Roman"/>
          <w:kern w:val="3"/>
          <w:lang w:val="de-DE"/>
        </w:rPr>
        <w:t>da</w:t>
      </w:r>
      <w:r w:rsidRPr="00CD3B6B">
        <w:rPr>
          <w:rFonts w:ascii="Verdana" w:eastAsia="Times New Roman" w:hAnsi="Verdana" w:cs="Times New Roman"/>
          <w:kern w:val="3"/>
          <w:lang w:val="de-DE"/>
        </w:rPr>
        <w:t xml:space="preserve">durch nur </w:t>
      </w:r>
      <w:r w:rsidR="008655F3" w:rsidRPr="00CD3B6B">
        <w:rPr>
          <w:rFonts w:ascii="Verdana" w:eastAsia="Times New Roman" w:hAnsi="Verdana" w:cs="Times New Roman"/>
          <w:kern w:val="3"/>
          <w:lang w:val="de-DE"/>
        </w:rPr>
        <w:t xml:space="preserve">9.500 Euro in Aktienfonds investieren. </w:t>
      </w:r>
      <w:r w:rsidR="008B72C4" w:rsidRPr="00CD3B6B">
        <w:rPr>
          <w:rFonts w:ascii="Verdana" w:eastAsia="Times New Roman" w:hAnsi="Verdana" w:cs="Times New Roman"/>
          <w:kern w:val="3"/>
          <w:lang w:val="de-DE"/>
        </w:rPr>
        <w:t xml:space="preserve">Direktbanken oder Discountbroker erheben diese Gebühr dagegen meist nicht. </w:t>
      </w:r>
      <w:r w:rsidR="00F2676F">
        <w:rPr>
          <w:rFonts w:ascii="Verdana" w:eastAsia="Times New Roman" w:hAnsi="Verdana" w:cs="Times New Roman"/>
          <w:kern w:val="3"/>
          <w:lang w:val="de-DE"/>
        </w:rPr>
        <w:t xml:space="preserve">Auf Beratung müssen Nutzer dabei nicht verzichten; das zeigt der Fondsvergleich von Verivox, der 28.000 </w:t>
      </w:r>
      <w:r w:rsidR="00F2676F">
        <w:rPr>
          <w:rFonts w:ascii="Verdana" w:eastAsia="Times New Roman" w:hAnsi="Verdana" w:cs="Times New Roman"/>
          <w:kern w:val="3"/>
          <w:lang w:val="de-DE"/>
        </w:rPr>
        <w:lastRenderedPageBreak/>
        <w:t>Fonds einem Ranking nach 2 klaren Kriterien unterzieht</w:t>
      </w:r>
      <w:r w:rsidR="008655F3" w:rsidRPr="00CD3B6B">
        <w:rPr>
          <w:rFonts w:ascii="Verdana" w:eastAsia="Times New Roman" w:hAnsi="Verdana" w:cs="Times New Roman"/>
          <w:kern w:val="3"/>
          <w:lang w:val="de-DE"/>
        </w:rPr>
        <w:t>.</w:t>
      </w:r>
      <w:r w:rsidRPr="00CD3B6B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CD3B6B">
        <w:rPr>
          <w:rFonts w:ascii="Verdana" w:eastAsia="Times New Roman" w:hAnsi="Verdana" w:cs="Times New Roman"/>
          <w:kern w:val="3"/>
          <w:lang w:val="de-DE"/>
        </w:rPr>
        <w:t>Wer clever verhandelt, kann</w:t>
      </w:r>
      <w:r w:rsidR="00F2676F">
        <w:rPr>
          <w:rFonts w:ascii="Verdana" w:eastAsia="Times New Roman" w:hAnsi="Verdana" w:cs="Times New Roman"/>
          <w:kern w:val="3"/>
          <w:lang w:val="de-DE"/>
        </w:rPr>
        <w:t xml:space="preserve"> </w:t>
      </w:r>
      <w:r w:rsidR="00CD3B6B">
        <w:rPr>
          <w:rFonts w:ascii="Verdana" w:eastAsia="Times New Roman" w:hAnsi="Verdana" w:cs="Times New Roman"/>
          <w:kern w:val="3"/>
          <w:lang w:val="de-DE"/>
        </w:rPr>
        <w:t>bei seiner Filialbank immerhin einen Rabatt auf den Ausgabeaufschlag bekommen</w:t>
      </w:r>
      <w:r w:rsidR="00CD3B6B" w:rsidRPr="00CD3B6B">
        <w:rPr>
          <w:rFonts w:ascii="Verdana" w:eastAsia="Times New Roman" w:hAnsi="Verdana" w:cs="Times New Roman"/>
          <w:kern w:val="3"/>
          <w:lang w:val="de-DE"/>
        </w:rPr>
        <w:t>.</w:t>
      </w:r>
    </w:p>
    <w:p w:rsidR="006767C0" w:rsidRPr="00CD3B6B" w:rsidRDefault="006767C0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b/>
          <w:kern w:val="3"/>
          <w:lang w:val="de-DE"/>
        </w:rPr>
      </w:pPr>
      <w:r w:rsidRPr="00CD3B6B">
        <w:rPr>
          <w:rFonts w:ascii="Verdana" w:eastAsia="Times New Roman" w:hAnsi="Verdana" w:cs="Times New Roman"/>
          <w:b/>
          <w:kern w:val="3"/>
          <w:lang w:val="de-DE"/>
        </w:rPr>
        <w:t>Hintergrundinformationen</w:t>
      </w:r>
    </w:p>
    <w:p w:rsidR="006767C0" w:rsidRPr="00CD3B6B" w:rsidRDefault="00B84722" w:rsidP="00CD3B6B">
      <w:pPr>
        <w:suppressAutoHyphens/>
        <w:autoSpaceDN w:val="0"/>
        <w:spacing w:after="200" w:line="276" w:lineRule="auto"/>
        <w:ind w:right="-85"/>
        <w:jc w:val="both"/>
        <w:textAlignment w:val="baseline"/>
        <w:rPr>
          <w:rFonts w:ascii="Verdana" w:eastAsia="Times New Roman" w:hAnsi="Verdana" w:cs="Times New Roman"/>
          <w:kern w:val="3"/>
          <w:lang w:val="de-DE"/>
        </w:rPr>
      </w:pPr>
      <w:r>
        <w:rPr>
          <w:rFonts w:ascii="Verdana" w:eastAsia="Times New Roman" w:hAnsi="Verdana" w:cs="Times New Roman"/>
          <w:kern w:val="3"/>
          <w:lang w:val="de-DE"/>
        </w:rPr>
        <w:t>Finanzvergleiche</w:t>
      </w:r>
    </w:p>
    <w:p w:rsidR="00B84722" w:rsidRDefault="00B61E44" w:rsidP="00CD3B6B">
      <w:hyperlink r:id="rId8" w:history="1">
        <w:r w:rsidR="00B84722" w:rsidRPr="00EB338F">
          <w:rPr>
            <w:rStyle w:val="Hyperlink"/>
            <w:rFonts w:ascii="Verdana" w:eastAsia="Times New Roman" w:hAnsi="Verdana" w:cs="Times New Roman"/>
            <w:kern w:val="3"/>
            <w:lang w:val="de-DE"/>
          </w:rPr>
          <w:t>http://www.verivox.de/finanzen/</w:t>
        </w:r>
      </w:hyperlink>
    </w:p>
    <w:p w:rsidR="009E3E95" w:rsidRDefault="0081001F" w:rsidP="00CD3B6B">
      <w:pPr>
        <w:rPr>
          <w:rFonts w:ascii="Verdana" w:eastAsia="Times New Roman" w:hAnsi="Verdana" w:cs="Times New Roman"/>
          <w:b/>
          <w:kern w:val="3"/>
          <w:lang w:val="de-DE"/>
        </w:rPr>
      </w:pPr>
      <w:r>
        <w:rPr>
          <w:rFonts w:ascii="Verdana" w:eastAsia="Times New Roman" w:hAnsi="Verdana" w:cs="Times New Roman"/>
          <w:b/>
          <w:kern w:val="3"/>
          <w:lang w:val="de-DE"/>
        </w:rPr>
        <w:t>Online abrufbar unter:</w:t>
      </w:r>
    </w:p>
    <w:p w:rsidR="0081001F" w:rsidRDefault="0081001F" w:rsidP="00CD3B6B">
      <w:pPr>
        <w:rPr>
          <w:rFonts w:ascii="Verdana" w:eastAsia="Times New Roman" w:hAnsi="Verdana" w:cs="Times New Roman"/>
          <w:kern w:val="3"/>
          <w:lang w:val="de-DE"/>
        </w:rPr>
      </w:pPr>
      <w:hyperlink r:id="rId9" w:history="1">
        <w:r w:rsidRPr="00E45A21">
          <w:rPr>
            <w:rStyle w:val="Hyperlink"/>
            <w:rFonts w:ascii="Verdana" w:eastAsia="Times New Roman" w:hAnsi="Verdana" w:cs="Times New Roman"/>
            <w:kern w:val="3"/>
            <w:lang w:val="de-DE"/>
          </w:rPr>
          <w:t>http://www.verivox.de/presse/5-finanz-tipps-zum-weltspartag-112395.aspx</w:t>
        </w:r>
      </w:hyperlink>
    </w:p>
    <w:p w:rsidR="0081001F" w:rsidRPr="0081001F" w:rsidRDefault="0081001F" w:rsidP="00CD3B6B">
      <w:pPr>
        <w:rPr>
          <w:rFonts w:ascii="Verdana" w:eastAsia="Times New Roman" w:hAnsi="Verdana" w:cs="Times New Roman"/>
          <w:kern w:val="3"/>
          <w:lang w:val="de-DE"/>
        </w:rPr>
      </w:pPr>
    </w:p>
    <w:p w:rsidR="0081001F" w:rsidRDefault="0081001F" w:rsidP="00CD3B6B">
      <w:pPr>
        <w:rPr>
          <w:rFonts w:ascii="Verdana" w:eastAsia="Times New Roman" w:hAnsi="Verdana" w:cs="Times New Roman"/>
          <w:kern w:val="3"/>
          <w:lang w:val="de-DE"/>
        </w:rPr>
      </w:pPr>
    </w:p>
    <w:p w:rsidR="00CD3B6B" w:rsidRPr="00CD3B6B" w:rsidRDefault="00CD3B6B" w:rsidP="00CD3B6B">
      <w:pPr>
        <w:rPr>
          <w:rFonts w:ascii="Verdana" w:hAnsi="Verdana"/>
          <w:b/>
          <w:bCs/>
          <w:i/>
          <w:sz w:val="16"/>
          <w:szCs w:val="16"/>
          <w:lang w:val="de-DE"/>
        </w:rPr>
      </w:pPr>
      <w:r w:rsidRPr="00CD3B6B">
        <w:rPr>
          <w:rFonts w:ascii="Verdana" w:hAnsi="Verdana"/>
          <w:b/>
          <w:bCs/>
          <w:i/>
          <w:sz w:val="16"/>
          <w:szCs w:val="16"/>
          <w:lang w:val="de-DE"/>
        </w:rPr>
        <w:t>Über Verivox</w:t>
      </w:r>
    </w:p>
    <w:p w:rsidR="00CD3B6B" w:rsidRPr="00CD3B6B" w:rsidRDefault="00CD3B6B" w:rsidP="00CD3B6B">
      <w:pPr>
        <w:rPr>
          <w:rFonts w:ascii="Verdana" w:hAnsi="Verdana"/>
          <w:i/>
          <w:iCs/>
          <w:sz w:val="16"/>
          <w:szCs w:val="16"/>
          <w:lang w:val="de-DE"/>
        </w:rPr>
      </w:pPr>
      <w:r w:rsidRPr="00CD3B6B">
        <w:rPr>
          <w:rFonts w:ascii="Verdana" w:hAnsi="Verdana"/>
          <w:i/>
          <w:iCs/>
          <w:sz w:val="16"/>
          <w:szCs w:val="16"/>
          <w:lang w:val="de-DE"/>
        </w:rPr>
        <w:t xml:space="preserve">Verivox, das führende unabhängige Verbraucherportal für alle Verträge rund um Ihr Zuhause, bietet umfassende Finanz-Expertise. Verivox recherchiert tagesaktuell die Konditionen von über 800 Banken und Sparkassen und betreibt damit die deutschlandweit größte Datenbank für Tages- und Festgeldangebote. Auf </w:t>
      </w:r>
      <w:hyperlink r:id="rId10" w:history="1">
        <w:r w:rsidRPr="00CD3B6B">
          <w:rPr>
            <w:rStyle w:val="Hyperlink"/>
            <w:rFonts w:ascii="Verdana" w:hAnsi="Verdana"/>
            <w:i/>
            <w:iCs/>
            <w:sz w:val="16"/>
            <w:szCs w:val="16"/>
            <w:lang w:val="de-DE"/>
          </w:rPr>
          <w:t>verivox.de</w:t>
        </w:r>
      </w:hyperlink>
      <w:r w:rsidRPr="00CD3B6B">
        <w:rPr>
          <w:rFonts w:ascii="Verdana" w:hAnsi="Verdana"/>
          <w:i/>
          <w:iCs/>
          <w:sz w:val="16"/>
          <w:szCs w:val="16"/>
          <w:lang w:val="de-DE"/>
        </w:rPr>
        <w:t xml:space="preserve"> finden Verbraucher außerdem Vergleichsrechner für Ratenkredite, Girokonten, Kreditkarten, Baufinanzierungen und Fonds. Eine kostenfreie und unverbindliche Beratung per Telefon und E-Mail sowie zahlreiche Hintergrundinformationen runden den Service ab.</w:t>
      </w:r>
    </w:p>
    <w:p w:rsidR="00CD3B6B" w:rsidRPr="00CD3B6B" w:rsidRDefault="00CD3B6B" w:rsidP="00CD3B6B">
      <w:pPr>
        <w:adjustRightInd w:val="0"/>
        <w:rPr>
          <w:rFonts w:ascii="Verdana" w:hAnsi="Verdana"/>
          <w:color w:val="1F497D"/>
          <w:sz w:val="16"/>
          <w:szCs w:val="16"/>
          <w:lang w:val="de-DE"/>
        </w:rPr>
      </w:pPr>
      <w:r w:rsidRPr="00CD3B6B">
        <w:rPr>
          <w:rFonts w:ascii="Verdana" w:hAnsi="Verdana"/>
          <w:i/>
          <w:iCs/>
          <w:sz w:val="16"/>
          <w:szCs w:val="16"/>
          <w:lang w:val="de-DE"/>
        </w:rPr>
        <w:t>Die Verivox GmbH wurde 1998 in Heidelberg gegründet. Heute arbeiten an den Standorten der Verivox-Gruppe - Heidelberg, Augsburg, Berlin, Leipzig und Linden, Zürich und Luzern - insgesamt rund 3</w:t>
      </w:r>
      <w:r w:rsidR="00F2676F">
        <w:rPr>
          <w:rFonts w:ascii="Verdana" w:hAnsi="Verdana"/>
          <w:i/>
          <w:iCs/>
          <w:sz w:val="16"/>
          <w:szCs w:val="16"/>
          <w:lang w:val="de-DE"/>
        </w:rPr>
        <w:t>3</w:t>
      </w:r>
      <w:r w:rsidRPr="00CD3B6B">
        <w:rPr>
          <w:rFonts w:ascii="Verdana" w:hAnsi="Verdana"/>
          <w:i/>
          <w:iCs/>
          <w:sz w:val="16"/>
          <w:szCs w:val="16"/>
          <w:lang w:val="de-DE"/>
        </w:rPr>
        <w:t>0 Menschen daran, Kunden den Vergleich von Tarifen und Angeboten in den Bereichen Energie, Telekommunikation, Versicherungen, Finanzen, Fahrzeuge, Reisen und Immobilien so einfach wie möglich zu machen.</w:t>
      </w:r>
    </w:p>
    <w:p w:rsidR="00CD3B6B" w:rsidRPr="00CD3B6B" w:rsidRDefault="00CD3B6B" w:rsidP="00CD3B6B">
      <w:pPr>
        <w:rPr>
          <w:rFonts w:ascii="Verdana" w:hAnsi="Verdana"/>
          <w:i/>
          <w:iCs/>
          <w:sz w:val="16"/>
          <w:szCs w:val="16"/>
          <w:lang w:val="de-DE"/>
        </w:rPr>
      </w:pPr>
      <w:r w:rsidRPr="00CD3B6B">
        <w:rPr>
          <w:rFonts w:ascii="Verdana" w:hAnsi="Verdana"/>
          <w:i/>
          <w:iCs/>
          <w:sz w:val="16"/>
          <w:szCs w:val="16"/>
          <w:lang w:val="de-DE"/>
        </w:rPr>
        <w:t>Hervorragender Service und die besten Tarife sind die Markenzeichen von Verivox. Seit der Gründung hat Verivox viele Millionen Leser kompetent beraten und mehr als 8 Millionen Verbrauchern beim Anbieterwechsel geholfen.</w:t>
      </w:r>
    </w:p>
    <w:p w:rsidR="00CD3B6B" w:rsidRPr="00CD3B6B" w:rsidRDefault="00CD3B6B" w:rsidP="00CD3B6B">
      <w:pPr>
        <w:rPr>
          <w:rFonts w:ascii="Verdana" w:hAnsi="Verdana"/>
          <w:b/>
          <w:bCs/>
          <w:i/>
          <w:sz w:val="16"/>
          <w:szCs w:val="16"/>
          <w:lang w:val="de-DE"/>
        </w:rPr>
      </w:pPr>
      <w:r w:rsidRPr="00CD3B6B">
        <w:rPr>
          <w:rFonts w:ascii="Verdana" w:hAnsi="Verdana"/>
          <w:b/>
          <w:bCs/>
          <w:i/>
          <w:sz w:val="16"/>
          <w:szCs w:val="16"/>
          <w:lang w:val="de-DE"/>
        </w:rPr>
        <w:t>Ansprechpartner für Presseanfragen:</w:t>
      </w:r>
    </w:p>
    <w:p w:rsidR="00CD3B6B" w:rsidRPr="00CD3B6B" w:rsidRDefault="00CD3B6B" w:rsidP="00CD3B6B">
      <w:pPr>
        <w:spacing w:after="240"/>
        <w:rPr>
          <w:rFonts w:ascii="Verdana" w:hAnsi="Verdana"/>
          <w:i/>
          <w:iCs/>
          <w:color w:val="1F497D"/>
          <w:sz w:val="16"/>
          <w:szCs w:val="16"/>
          <w:lang w:val="de-DE"/>
        </w:rPr>
      </w:pPr>
      <w:r w:rsidRPr="00CD3B6B">
        <w:rPr>
          <w:rFonts w:ascii="Verdana" w:hAnsi="Verdana"/>
          <w:i/>
          <w:iCs/>
          <w:sz w:val="16"/>
          <w:szCs w:val="16"/>
          <w:lang w:val="de-DE"/>
        </w:rPr>
        <w:t>Toralf Richter, Tel.: +49 (0)6221 7961-342,</w:t>
      </w:r>
      <w:r w:rsidRPr="00CD3B6B">
        <w:rPr>
          <w:rFonts w:ascii="Verdana" w:hAnsi="Verdana"/>
          <w:i/>
          <w:iCs/>
          <w:sz w:val="16"/>
          <w:szCs w:val="16"/>
          <w:lang w:val="de-DE"/>
        </w:rPr>
        <w:br/>
        <w:t xml:space="preserve">Mobil: +49 (0)152 54773767, </w:t>
      </w:r>
      <w:hyperlink r:id="rId11" w:history="1">
        <w:r w:rsidRPr="00CD3B6B">
          <w:rPr>
            <w:rStyle w:val="Hyperlink"/>
            <w:rFonts w:ascii="Verdana" w:hAnsi="Verdana"/>
            <w:i/>
            <w:iCs/>
            <w:sz w:val="16"/>
            <w:szCs w:val="16"/>
            <w:lang w:val="de-DE"/>
          </w:rPr>
          <w:t>toralf.richter@verivox.com</w:t>
        </w:r>
      </w:hyperlink>
      <w:r w:rsidRPr="00CD3B6B">
        <w:rPr>
          <w:rFonts w:ascii="Verdana" w:hAnsi="Verdana"/>
          <w:i/>
          <w:iCs/>
          <w:sz w:val="16"/>
          <w:szCs w:val="16"/>
          <w:lang w:val="de-DE"/>
        </w:rPr>
        <w:t xml:space="preserve"> </w:t>
      </w:r>
    </w:p>
    <w:p w:rsidR="00CD3B6B" w:rsidRPr="00CD3B6B" w:rsidRDefault="00CD3B6B" w:rsidP="00CD3B6B">
      <w:pPr>
        <w:spacing w:after="240"/>
        <w:rPr>
          <w:rFonts w:ascii="Verdana" w:hAnsi="Verdana"/>
          <w:i/>
          <w:color w:val="1F497D"/>
          <w:sz w:val="16"/>
          <w:szCs w:val="16"/>
          <w:lang w:val="de-DE"/>
        </w:rPr>
      </w:pPr>
      <w:proofErr w:type="spellStart"/>
      <w:r w:rsidRPr="00CD3B6B">
        <w:rPr>
          <w:rFonts w:ascii="Verdana" w:hAnsi="Verdana"/>
          <w:i/>
          <w:sz w:val="16"/>
          <w:szCs w:val="16"/>
          <w:lang w:val="de-DE"/>
        </w:rPr>
        <w:t>Verivox</w:t>
      </w:r>
      <w:proofErr w:type="spellEnd"/>
      <w:r w:rsidRPr="00CD3B6B">
        <w:rPr>
          <w:rFonts w:ascii="Verdana" w:hAnsi="Verdana"/>
          <w:i/>
          <w:sz w:val="16"/>
          <w:szCs w:val="16"/>
          <w:lang w:val="de-DE"/>
        </w:rPr>
        <w:t>-Presseinformationen als RSS-</w:t>
      </w:r>
      <w:proofErr w:type="spellStart"/>
      <w:r w:rsidRPr="00CD3B6B">
        <w:rPr>
          <w:rFonts w:ascii="Verdana" w:hAnsi="Verdana"/>
          <w:i/>
          <w:sz w:val="16"/>
          <w:szCs w:val="16"/>
          <w:lang w:val="de-DE"/>
        </w:rPr>
        <w:t>Feed:</w:t>
      </w:r>
      <w:hyperlink r:id="rId12" w:history="1"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http</w:t>
        </w:r>
        <w:proofErr w:type="spellEnd"/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://</w:t>
        </w:r>
        <w:proofErr w:type="spellStart"/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verivox.de</w:t>
        </w:r>
        <w:proofErr w:type="spellEnd"/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/</w:t>
        </w:r>
        <w:proofErr w:type="spellStart"/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rss.ashx?c</w:t>
        </w:r>
        <w:proofErr w:type="spellEnd"/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=Presse</w:t>
        </w:r>
      </w:hyperlink>
    </w:p>
    <w:p w:rsidR="00CF70D4" w:rsidRPr="00CD3B6B" w:rsidRDefault="00CD3B6B" w:rsidP="00CD3B6B">
      <w:pPr>
        <w:tabs>
          <w:tab w:val="left" w:pos="2304"/>
        </w:tabs>
        <w:suppressAutoHyphens/>
        <w:autoSpaceDN w:val="0"/>
        <w:spacing w:after="260" w:line="276" w:lineRule="auto"/>
        <w:ind w:right="-86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val="de-DE"/>
        </w:rPr>
      </w:pPr>
      <w:r w:rsidRPr="00CD3B6B">
        <w:rPr>
          <w:rFonts w:ascii="Verdana" w:hAnsi="Verdana"/>
          <w:i/>
          <w:sz w:val="16"/>
          <w:szCs w:val="16"/>
          <w:lang w:val="de-DE"/>
        </w:rPr>
        <w:t xml:space="preserve">Verivox GmbH | Am Taubenfeld 10 | D-69123 Heidelberg | </w:t>
      </w:r>
      <w:hyperlink r:id="rId13" w:history="1">
        <w:r w:rsidRPr="00CD3B6B">
          <w:rPr>
            <w:rStyle w:val="Hyperlink"/>
            <w:rFonts w:ascii="Verdana" w:hAnsi="Verdana"/>
            <w:i/>
            <w:sz w:val="16"/>
            <w:szCs w:val="16"/>
            <w:lang w:val="de-DE"/>
          </w:rPr>
          <w:t>verivox.de</w:t>
        </w:r>
      </w:hyperlink>
    </w:p>
    <w:sectPr w:rsidR="00CF70D4" w:rsidRPr="00CD3B6B" w:rsidSect="008E3869">
      <w:headerReference w:type="default" r:id="rId14"/>
      <w:footerReference w:type="default" r:id="rId15"/>
      <w:headerReference w:type="first" r:id="rId16"/>
      <w:pgSz w:w="11907" w:h="16839" w:code="9"/>
      <w:pgMar w:top="1717" w:right="2007" w:bottom="680" w:left="124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2C35D9" w15:done="0"/>
  <w15:commentEx w15:paraId="3B1A818D" w15:done="0"/>
  <w15:commentEx w15:paraId="27F1A967" w15:done="0"/>
  <w15:commentEx w15:paraId="3E7B70A0" w15:done="0"/>
  <w15:commentEx w15:paraId="09DABDEE" w15:done="0"/>
  <w15:commentEx w15:paraId="4986AF9E" w15:done="0"/>
  <w15:commentEx w15:paraId="4F0C2D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62" w:rsidRDefault="00ED7562" w:rsidP="00947179">
      <w:pPr>
        <w:spacing w:after="0" w:line="240" w:lineRule="auto"/>
      </w:pPr>
      <w:r>
        <w:separator/>
      </w:r>
    </w:p>
  </w:endnote>
  <w:endnote w:type="continuationSeparator" w:id="0">
    <w:p w:rsidR="00ED7562" w:rsidRDefault="00ED7562" w:rsidP="009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3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91EBD" w:rsidRDefault="00F91EBD">
            <w:pPr>
              <w:pStyle w:val="Fuzeile"/>
              <w:jc w:val="right"/>
            </w:pPr>
            <w:r w:rsidRPr="00D30386">
              <w:rPr>
                <w:rFonts w:ascii="Verdana" w:hAnsi="Verdana"/>
                <w:sz w:val="18"/>
                <w:szCs w:val="18"/>
              </w:rPr>
              <w:t xml:space="preserve">Seite </w: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D30386">
              <w:rPr>
                <w:rFonts w:ascii="Verdana" w:hAnsi="Verdana"/>
                <w:b/>
                <w:sz w:val="18"/>
                <w:szCs w:val="18"/>
              </w:rPr>
              <w:instrText xml:space="preserve"> PAGE </w:instrTex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1001F">
              <w:rPr>
                <w:rFonts w:ascii="Verdana" w:hAnsi="Verdana"/>
                <w:b/>
                <w:noProof/>
                <w:sz w:val="18"/>
                <w:szCs w:val="18"/>
              </w:rPr>
              <w:t>3</w: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D30386">
              <w:rPr>
                <w:rFonts w:ascii="Verdana" w:hAnsi="Verdana"/>
                <w:sz w:val="18"/>
                <w:szCs w:val="18"/>
              </w:rPr>
              <w:t xml:space="preserve"> von </w: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D30386">
              <w:rPr>
                <w:rFonts w:ascii="Verdana" w:hAnsi="Verdana"/>
                <w:b/>
                <w:sz w:val="18"/>
                <w:szCs w:val="18"/>
              </w:rPr>
              <w:instrText xml:space="preserve"> NUMPAGES  </w:instrTex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1001F">
              <w:rPr>
                <w:rFonts w:ascii="Verdana" w:hAnsi="Verdana"/>
                <w:b/>
                <w:noProof/>
                <w:sz w:val="18"/>
                <w:szCs w:val="18"/>
              </w:rPr>
              <w:t>3</w:t>
            </w:r>
            <w:r w:rsidR="00B61E44" w:rsidRPr="00D3038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91EBD" w:rsidRDefault="00F91E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62" w:rsidRDefault="00ED7562" w:rsidP="00947179">
      <w:pPr>
        <w:spacing w:after="0" w:line="240" w:lineRule="auto"/>
      </w:pPr>
      <w:r>
        <w:separator/>
      </w:r>
    </w:p>
  </w:footnote>
  <w:footnote w:type="continuationSeparator" w:id="0">
    <w:p w:rsidR="00ED7562" w:rsidRDefault="00ED7562" w:rsidP="0094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BD" w:rsidRDefault="00F91EBD">
    <w:pPr>
      <w:pStyle w:val="Kopfzeile"/>
    </w:pPr>
  </w:p>
  <w:p w:rsidR="00F91EBD" w:rsidRDefault="00F91EBD">
    <w:pPr>
      <w:pStyle w:val="Kopfzeile"/>
    </w:pPr>
    <w:r w:rsidRPr="0068792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312420</wp:posOffset>
          </wp:positionV>
          <wp:extent cx="1900555" cy="489585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1EBD" w:rsidRPr="00CD3B6B" w:rsidRDefault="00F91EBD" w:rsidP="006767C0">
    <w:pPr>
      <w:pStyle w:val="Kopfzeile"/>
      <w:rPr>
        <w:rFonts w:ascii="Verdana" w:hAnsi="Verdana"/>
        <w:b/>
        <w:sz w:val="24"/>
        <w:szCs w:val="24"/>
      </w:rPr>
    </w:pPr>
    <w:r w:rsidRPr="00CD3B6B">
      <w:rPr>
        <w:rFonts w:ascii="Verdana" w:hAnsi="Verdana"/>
        <w:b/>
        <w:sz w:val="24"/>
        <w:szCs w:val="24"/>
      </w:rPr>
      <w:t>Presseinformation</w:t>
    </w:r>
  </w:p>
  <w:p w:rsidR="00F91EBD" w:rsidRPr="00CD3B6B" w:rsidRDefault="00F91EBD" w:rsidP="006767C0">
    <w:pPr>
      <w:pStyle w:val="Kopfzeile"/>
      <w:rPr>
        <w:rFonts w:ascii="Verdana" w:hAnsi="Verdana"/>
        <w:sz w:val="20"/>
        <w:szCs w:val="20"/>
      </w:rPr>
    </w:pPr>
  </w:p>
  <w:p w:rsidR="00F91EBD" w:rsidRPr="00CD3B6B" w:rsidRDefault="009E3E95" w:rsidP="006767C0">
    <w:pPr>
      <w:pStyle w:val="Kopfzeile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2</w:t>
    </w:r>
    <w:r w:rsidR="00B84722">
      <w:rPr>
        <w:rFonts w:ascii="Verdana" w:hAnsi="Verdana"/>
        <w:b/>
        <w:sz w:val="24"/>
        <w:szCs w:val="24"/>
      </w:rPr>
      <w:t>1.10</w:t>
    </w:r>
    <w:r w:rsidR="00F91EBD" w:rsidRPr="00CD3B6B">
      <w:rPr>
        <w:rFonts w:ascii="Verdana" w:hAnsi="Verdana"/>
        <w:b/>
        <w:sz w:val="24"/>
        <w:szCs w:val="24"/>
      </w:rPr>
      <w:t>.2016</w:t>
    </w:r>
  </w:p>
  <w:p w:rsidR="00F91EBD" w:rsidRDefault="00F91EB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BD" w:rsidRDefault="00F91EBD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5246040</wp:posOffset>
          </wp:positionH>
          <wp:positionV relativeFrom="page">
            <wp:posOffset>622300</wp:posOffset>
          </wp:positionV>
          <wp:extent cx="1843200" cy="435600"/>
          <wp:effectExtent l="0" t="0" r="5080" b="3175"/>
          <wp:wrapNone/>
          <wp:docPr id="318" name="Picture 318" descr="C:\Users\GischelR\AppData\Local\Microsoft\Windows\INetCache\Content.Word\20160609_VX_Geschaeftsbogen_Photoshop_Slice_Template_For_Word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ischelR\AppData\Local\Microsoft\Windows\INetCache\Content.Word\20160609_VX_Geschaeftsbogen_Photoshop_Slice_Template_For_Word_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C7B"/>
    <w:multiLevelType w:val="hybridMultilevel"/>
    <w:tmpl w:val="BB26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Nauck">
    <w15:presenceInfo w15:providerId="AD" w15:userId="S-1-5-21-802255210-1910504640-399894430-83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47179"/>
    <w:rsid w:val="00005BC9"/>
    <w:rsid w:val="00034FF1"/>
    <w:rsid w:val="00052961"/>
    <w:rsid w:val="00055671"/>
    <w:rsid w:val="00082D97"/>
    <w:rsid w:val="000B2E91"/>
    <w:rsid w:val="000B33DC"/>
    <w:rsid w:val="000B7F27"/>
    <w:rsid w:val="000E11BA"/>
    <w:rsid w:val="000E45BA"/>
    <w:rsid w:val="0010031E"/>
    <w:rsid w:val="00100544"/>
    <w:rsid w:val="00136EAD"/>
    <w:rsid w:val="001379DC"/>
    <w:rsid w:val="00154A8F"/>
    <w:rsid w:val="00193B0F"/>
    <w:rsid w:val="001B5CB4"/>
    <w:rsid w:val="001D3D97"/>
    <w:rsid w:val="001D5ADF"/>
    <w:rsid w:val="00220259"/>
    <w:rsid w:val="0024329B"/>
    <w:rsid w:val="00251776"/>
    <w:rsid w:val="002974E4"/>
    <w:rsid w:val="002A4FE2"/>
    <w:rsid w:val="002A6753"/>
    <w:rsid w:val="002D027A"/>
    <w:rsid w:val="00302530"/>
    <w:rsid w:val="00313178"/>
    <w:rsid w:val="003167FB"/>
    <w:rsid w:val="00320087"/>
    <w:rsid w:val="0035633B"/>
    <w:rsid w:val="003758D0"/>
    <w:rsid w:val="00375C70"/>
    <w:rsid w:val="003A701B"/>
    <w:rsid w:val="003E2E25"/>
    <w:rsid w:val="00410CE7"/>
    <w:rsid w:val="0041460A"/>
    <w:rsid w:val="00421109"/>
    <w:rsid w:val="00443140"/>
    <w:rsid w:val="00451FFF"/>
    <w:rsid w:val="0046132D"/>
    <w:rsid w:val="00484352"/>
    <w:rsid w:val="004A7979"/>
    <w:rsid w:val="004B2761"/>
    <w:rsid w:val="004B52B6"/>
    <w:rsid w:val="004D07D3"/>
    <w:rsid w:val="004E53BB"/>
    <w:rsid w:val="004E7C27"/>
    <w:rsid w:val="004F2CF1"/>
    <w:rsid w:val="00531722"/>
    <w:rsid w:val="00533679"/>
    <w:rsid w:val="005B728A"/>
    <w:rsid w:val="00607EAF"/>
    <w:rsid w:val="00613225"/>
    <w:rsid w:val="00621CD7"/>
    <w:rsid w:val="006543D9"/>
    <w:rsid w:val="0066674E"/>
    <w:rsid w:val="006767C0"/>
    <w:rsid w:val="0068400F"/>
    <w:rsid w:val="00687920"/>
    <w:rsid w:val="0069449E"/>
    <w:rsid w:val="006B2E52"/>
    <w:rsid w:val="006B410D"/>
    <w:rsid w:val="006C0D5D"/>
    <w:rsid w:val="006E67E0"/>
    <w:rsid w:val="006E693F"/>
    <w:rsid w:val="00701BA9"/>
    <w:rsid w:val="007558FB"/>
    <w:rsid w:val="0078447A"/>
    <w:rsid w:val="007A06CF"/>
    <w:rsid w:val="007C24D5"/>
    <w:rsid w:val="007D4B18"/>
    <w:rsid w:val="007D722C"/>
    <w:rsid w:val="007E2D4F"/>
    <w:rsid w:val="007F3AE8"/>
    <w:rsid w:val="0080118C"/>
    <w:rsid w:val="0081001F"/>
    <w:rsid w:val="008107FE"/>
    <w:rsid w:val="008135DE"/>
    <w:rsid w:val="00822795"/>
    <w:rsid w:val="00824B99"/>
    <w:rsid w:val="00832ED2"/>
    <w:rsid w:val="00834572"/>
    <w:rsid w:val="008655F3"/>
    <w:rsid w:val="008767B4"/>
    <w:rsid w:val="008A44AE"/>
    <w:rsid w:val="008B72C4"/>
    <w:rsid w:val="008C5DDE"/>
    <w:rsid w:val="008D2F87"/>
    <w:rsid w:val="008D55DC"/>
    <w:rsid w:val="008E3869"/>
    <w:rsid w:val="008E6D55"/>
    <w:rsid w:val="009400A1"/>
    <w:rsid w:val="00947179"/>
    <w:rsid w:val="009636DF"/>
    <w:rsid w:val="00967E63"/>
    <w:rsid w:val="009712F5"/>
    <w:rsid w:val="00974A30"/>
    <w:rsid w:val="009859D0"/>
    <w:rsid w:val="009C08EC"/>
    <w:rsid w:val="009E2618"/>
    <w:rsid w:val="009E3E95"/>
    <w:rsid w:val="009E5013"/>
    <w:rsid w:val="00A13F4B"/>
    <w:rsid w:val="00A27451"/>
    <w:rsid w:val="00A63FD8"/>
    <w:rsid w:val="00AC5D2C"/>
    <w:rsid w:val="00AD7DE2"/>
    <w:rsid w:val="00AE6417"/>
    <w:rsid w:val="00AF401F"/>
    <w:rsid w:val="00B15267"/>
    <w:rsid w:val="00B35F72"/>
    <w:rsid w:val="00B5138F"/>
    <w:rsid w:val="00B6129F"/>
    <w:rsid w:val="00B61E44"/>
    <w:rsid w:val="00B661AF"/>
    <w:rsid w:val="00B71A5F"/>
    <w:rsid w:val="00B7313B"/>
    <w:rsid w:val="00B84722"/>
    <w:rsid w:val="00B95393"/>
    <w:rsid w:val="00BB4212"/>
    <w:rsid w:val="00BC311A"/>
    <w:rsid w:val="00BC767A"/>
    <w:rsid w:val="00BD23B5"/>
    <w:rsid w:val="00BD5B1D"/>
    <w:rsid w:val="00BE785C"/>
    <w:rsid w:val="00BE7AA4"/>
    <w:rsid w:val="00C10407"/>
    <w:rsid w:val="00C12A78"/>
    <w:rsid w:val="00C14173"/>
    <w:rsid w:val="00C559B4"/>
    <w:rsid w:val="00C56489"/>
    <w:rsid w:val="00C645E2"/>
    <w:rsid w:val="00C653F0"/>
    <w:rsid w:val="00C75B72"/>
    <w:rsid w:val="00C83E37"/>
    <w:rsid w:val="00CA2877"/>
    <w:rsid w:val="00CA373F"/>
    <w:rsid w:val="00CA384C"/>
    <w:rsid w:val="00CB658C"/>
    <w:rsid w:val="00CC114D"/>
    <w:rsid w:val="00CD2B0A"/>
    <w:rsid w:val="00CD3B6B"/>
    <w:rsid w:val="00CE08D0"/>
    <w:rsid w:val="00CE5082"/>
    <w:rsid w:val="00CE5CED"/>
    <w:rsid w:val="00CF70D4"/>
    <w:rsid w:val="00D14C59"/>
    <w:rsid w:val="00D15BE6"/>
    <w:rsid w:val="00D22CD9"/>
    <w:rsid w:val="00D30386"/>
    <w:rsid w:val="00D3109F"/>
    <w:rsid w:val="00D478F0"/>
    <w:rsid w:val="00D5505E"/>
    <w:rsid w:val="00D60990"/>
    <w:rsid w:val="00D616D0"/>
    <w:rsid w:val="00D846D2"/>
    <w:rsid w:val="00D92473"/>
    <w:rsid w:val="00DA449D"/>
    <w:rsid w:val="00DB45C1"/>
    <w:rsid w:val="00DC3280"/>
    <w:rsid w:val="00E01541"/>
    <w:rsid w:val="00E12F7E"/>
    <w:rsid w:val="00E20D2B"/>
    <w:rsid w:val="00E313C8"/>
    <w:rsid w:val="00E34692"/>
    <w:rsid w:val="00E3675C"/>
    <w:rsid w:val="00E7374D"/>
    <w:rsid w:val="00E92DE0"/>
    <w:rsid w:val="00ED7562"/>
    <w:rsid w:val="00EE31B8"/>
    <w:rsid w:val="00EE4DC8"/>
    <w:rsid w:val="00F116AC"/>
    <w:rsid w:val="00F2676F"/>
    <w:rsid w:val="00F3680A"/>
    <w:rsid w:val="00F53DC9"/>
    <w:rsid w:val="00F73935"/>
    <w:rsid w:val="00F7536D"/>
    <w:rsid w:val="00F91438"/>
    <w:rsid w:val="00F91EBD"/>
    <w:rsid w:val="00F97002"/>
    <w:rsid w:val="00FB4D1C"/>
    <w:rsid w:val="00FC27AD"/>
    <w:rsid w:val="00FD2E14"/>
    <w:rsid w:val="00FD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79"/>
  </w:style>
  <w:style w:type="paragraph" w:styleId="Fuzeile">
    <w:name w:val="footer"/>
    <w:basedOn w:val="Standard"/>
    <w:link w:val="FuzeileZchn"/>
    <w:uiPriority w:val="99"/>
    <w:unhideWhenUsed/>
    <w:rsid w:val="009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79"/>
  </w:style>
  <w:style w:type="paragraph" w:customStyle="1" w:styleId="EinfAbs">
    <w:name w:val="[Einf. Abs.]"/>
    <w:basedOn w:val="Standard"/>
    <w:uiPriority w:val="99"/>
    <w:rsid w:val="00B35F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C27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8E386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869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BD23B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45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5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5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5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5B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F70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vox.de/finanzen/" TargetMode="External"/><Relationship Id="rId13" Type="http://schemas.openxmlformats.org/officeDocument/2006/relationships/hyperlink" Target="http://www.verivox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ivox.de/rss.ashx?c=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alf.richter@verivo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erivox.d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verivox.de/presse/5-finanz-tipps-zum-weltspartag-112395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4C80-6099-4169-976D-EC1C341A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Verivox GmbH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Gischel</dc:creator>
  <cp:lastModifiedBy>Ulrike Hecht</cp:lastModifiedBy>
  <cp:revision>6</cp:revision>
  <cp:lastPrinted>2016-10-07T16:34:00Z</cp:lastPrinted>
  <dcterms:created xsi:type="dcterms:W3CDTF">2016-10-07T16:01:00Z</dcterms:created>
  <dcterms:modified xsi:type="dcterms:W3CDTF">2016-10-20T11:24:00Z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http://veriworld.verivox.ads</vt:lpwstr>
  </property>
  <property fmtid="{D5CDD505-2E9C-101B-9397-08002B2CF9AE}" pid="3" name="Jive_VersionGuid">
    <vt:lpwstr>22e5a65a-6d6e-404f-bdb1-3e5b7174341f</vt:lpwstr>
  </property>
  <property fmtid="{D5CDD505-2E9C-101B-9397-08002B2CF9AE}" pid="4" name="Jive_LatestUserAccountName">
    <vt:lpwstr>storckt</vt:lpwstr>
  </property>
  <property fmtid="{D5CDD505-2E9C-101B-9397-08002B2CF9AE}" pid="5" name="Offisync_UniqueId">
    <vt:lpwstr>7818</vt:lpwstr>
  </property>
  <property fmtid="{D5CDD505-2E9C-101B-9397-08002B2CF9AE}" pid="6" name="Offisync_UpdateToken">
    <vt:lpwstr>1</vt:lpwstr>
  </property>
  <property fmtid="{D5CDD505-2E9C-101B-9397-08002B2CF9AE}" pid="7" name="Offisync_ServerID">
    <vt:lpwstr>6178b72d-7999-4240-bc43-e8873f2ec424</vt:lpwstr>
  </property>
  <property fmtid="{D5CDD505-2E9C-101B-9397-08002B2CF9AE}" pid="8" name="Jive_ModifiedButNotPublished">
    <vt:lpwstr>True</vt:lpwstr>
  </property>
</Properties>
</file>